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November 1, 2017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Contested Decisions: The Role of Boundary Organizations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br w:type="textWrapping"/>
        <w:t xml:space="preserve">Organized by: Marc Saner, Institute for Science, Society and Policy, University of Ottawa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br w:type="textWrapping"/>
        <w:t xml:space="preserve">Speakers: Frédéric Bouchard, President, ACFAS (Association francophone pour le savoir);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Karen Dodds, Former Assistant Deputy Minister, Environment and Climate Change Canada;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Johannes Klumpers, Head of Unit, Scientific Advice Mechanism, European Commission;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Marc Saner, Professor, University of Ottawa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Moderator: Sonia L’Heureux, Parliamentary Librarian, Library of Parliament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Takeaways and recommendations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formulation of questions put to boundary organizations should be examined.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 and interests can shift rapidly, especially in a policy-relevant environment.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Engage in a dialogue and make the questions and expectations explicit: it requires going back and forth, and the courage to ask for clarification.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720" w:right="72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Scientists should offer scientific input and advice, contributing their expertise provides a critical contribution to policy development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Policymaking is a specific “craft” that has its own considerations and imperatives – e.g., timing pressures and incomplete information are constants that are part of the policymaking process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oundary organizations can be a bridge to these two specialized functions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Academics should be clear who their funders are and the policy motivation behind the funding.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Think tanks are playing a broader role in policymaking with the emergence of a knowledge-based society. Historically, research and its findings were the purview of universities alone; now, trained researchers also work at boundary organizations, using research to support policy.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emergence of think tanks in society means knowledge plays an increasing role in decision-making and in society.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Think tanks answer specific timely questions but are beholden to the question askers who fund their work.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Scientific Advice Mechanism is a boundary organization that advises the European Commission.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are several challenges for the Scientific Advice Mechanism: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Delivering science advice within political timescales;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Choosing effective evidence review techniques; and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Communicating advice to policymakers and the public, particularly when it involves uncertainties.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