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2, 2017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the Culture and Structure of Science Might Change to Address Grand Societal Challenges?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Organized by: Tina McDivitt, Spindle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Speakers: Gordon Kurtenbach, Head of Autodesk Research, Autodesk; Amy Lang, Director of Patient, Caregiver and Public Engagement, Health Quality Ontario; Donald Stuss, Founding Director, Baycrest’s Rotman Research Institute  founding President and Scientific Director, Ontario Brain institute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Moderator: Mark J. Poznansky, President and CEO, Ontario Genomics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Takeaways and recommendations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Convergence and trans-disciplinary research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Trans-disciplinary research is emerging as a result of people being trained in multiple disciplines, and the convergence of engineering, life sciences and physical sciences.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Public, professional and commercial stakeholders are needed to define the scale, scope and foci of research.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should be provided to areas of research where Canada can have a competitive advantage.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Improving clinical diagnosis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Diagnoses need to be made in terms of clinical sub-syndromes: a systems approach, which will ensure the use of correct target candidates in clinical trials and improve their efficacy.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Put the patient in the centre: integrate all aspects that are relevant to maximizing patient benefits.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Embed research into clinical practice and embed commercialization into research.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Technological platforms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Bridging technology platforms allows the application of new scientific knowledge to scientific and industrial processes.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critical to support interdisciplinary connections and make working with disparate datasets easy.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Platforms allow for a systems approach, which is needed to address complex global challenges.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Engaging patients and caregivers in healthcare policy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Effectively engaging patients and their caregivers can have a positive impact on many aspects of the patient’s healthcare.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Patient and public participation in health policy, service design, and governance can lead to better-informed and more sustainable decisions and programs.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Engaging patients can change the way different kinds of evidence are weighted in decision-making for health policy. 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