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3, 2017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Short Talk Series: Advancing Science in Society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commentRangeStart w:id="0"/>
      <w:r w:rsidDel="00000000" w:rsidR="00000000" w:rsidRPr="00000000">
        <w:rPr>
          <w:rFonts w:ascii="Calibri" w:cs="Calibri" w:eastAsia="Calibri" w:hAnsi="Calibri"/>
          <w:rtl w:val="0"/>
        </w:rPr>
        <w:t xml:space="preserve">Organized by: CSPC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Speakers: Kei Koizumi, Visiting Scholar in Science Policy, American Association for the Advancement of Science (AAAS); Mahlet N. Mesfin, Deputy Director, Center for Science Diplomacy, AAAS; Nicole Mahoney, Director, Global Regulatory Policy, Merck; Melisssa Mathers, Project Coordinator, Let's Talk Science; Kelly Cobey, Senior Clinical Research Associate, The Ottawa Hospital; Raymond Ng, Director, Data Science Institute, Professor, Computer Science, UBC; Mark Leggott, Executive Director, Research Data Canada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learned from the U.S. White House on using science to meet policy challenges: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Close links between the science advisor and president ensured the president received timely advice on the latest research.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scientific advisor must be able to translate scientific advice into policy language.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Science rarely gives the full policy solution.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Recommendations from the AAAS report, Connecting Scientists to Policy Around the World: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Cultivate and connect boundary-spanning STEM leaders around the world to engage at the science-policy interface,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 with the public the applications of science and how they serve society, and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 knowledge sharing and collaboration.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</w:r>
      <w:r w:rsidDel="00000000" w:rsidR="00000000" w:rsidRPr="00000000">
        <w:rPr>
          <w:color w:val="222222"/>
          <w:rtl w:val="0"/>
        </w:rPr>
        <w:t xml:space="preserve">Global perspectives on antimicrobial resistance (AMR) innovation: what does          this me</w:t>
      </w:r>
      <w:r w:rsidDel="00000000" w:rsidR="00000000" w:rsidRPr="00000000">
        <w:rPr>
          <w:rtl w:val="0"/>
        </w:rPr>
        <w:t xml:space="preserve">an for Canada?          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1080" w:hanging="360"/>
        <w:contextualSpacing w:val="1"/>
        <w:rPr/>
      </w:pPr>
      <w:r w:rsidDel="00000000" w:rsidR="00000000" w:rsidRPr="00000000">
        <w:rPr>
          <w:rtl w:val="0"/>
        </w:rPr>
        <w:t xml:space="preserve">Policy leaders recognize that incentives will be need to drive innovation to address AMR.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1080" w:hanging="360"/>
        <w:contextualSpacing w:val="1"/>
        <w:rPr/>
      </w:pPr>
      <w:r w:rsidDel="00000000" w:rsidR="00000000" w:rsidRPr="00000000">
        <w:rPr>
          <w:rtl w:val="0"/>
        </w:rPr>
        <w:t xml:space="preserve">Ways Canada can be a leader in AMR: develop pathways for development/regulatory approval of new products; create special designations for priority antimicrobials with expedited development and approval pathways; collaborate with </w:t>
      </w:r>
      <w:r w:rsidDel="00000000" w:rsidR="00000000" w:rsidRPr="00000000">
        <w:rPr>
          <w:rtl w:val="0"/>
        </w:rPr>
        <w:t xml:space="preserve">global</w:t>
      </w:r>
      <w:r w:rsidDel="00000000" w:rsidR="00000000" w:rsidRPr="00000000">
        <w:rPr>
          <w:rtl w:val="0"/>
        </w:rPr>
        <w:t xml:space="preserve"> regulators; and support scientific leadership on development pathways for alternative approaches </w:t>
      </w:r>
      <w:r w:rsidDel="00000000" w:rsidR="00000000" w:rsidRPr="00000000">
        <w:rPr>
          <w:rtl w:val="0"/>
        </w:rPr>
        <w:t xml:space="preserve">to address bacterial infections.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ind w:left="108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Canada will be the G7 president in 2018: continue momentum on AMR and move into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Breaking down barriers for science outreach: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Simplify protocols and procedures for student involvement in outreach activities.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vocal in praising outreach initiatives.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Avocate for rewarding researchers and students who participate in science outreach.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ensure the transparency of scientific study designs, their conduct and reporting: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Solutions for becoming more transparent and accountable in the scientific process: register research programs (addresses publication bias and selective outcome reporting), set reporting guidelines, and establish evidence-based and explicit scientific processes.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results need to be reported in a timely manner, without undue restriction.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science and social implications: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Better tools need to be developed for open data management.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Sensitive individual data must be linked effectively to open data.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Biases embedded in data collections must be considered.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Smart governance and the exploitation of diversity can be provided by combining the perspectives of data science and social science.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Science: The new normal for knowledge dissemination: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Data Canada works with stakeholders to ensure research data is re-usable in support of innovation that benefits all Canadians.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new ecosystem is being created by research communities based on past data.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 closed book is but a block of wood.” </w:t>
      </w:r>
    </w:p>
    <w:sectPr>
      <w:pgSz w:h="15840" w:w="12240"/>
      <w:pgMar w:bottom="1440" w:top="1440" w:left="1800" w:right="180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CarolAnne Black" w:id="0" w:date="2017-11-07T15:35:0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not sure who the moderator was.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