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 2, 2017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 Diplomacy – An International Comparison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Organized by: Urs Obrist, Embassy of Switzerland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Speakers: Shiho Fujiwara, First Secretary, Embassy of Japan in Canada; Urs Obrist, Senior Science and Technology Counsellor, Embassy of Switzerland; Antoine Rauzy, Science and Higher Education Attaché, Embassy of France; Marcus Stadthaus, First Secretary, Sustainable Development, Energy, Embassy of Germany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Moderator: Mehrdad Hariri, Founder, CEO &amp; President, Canadian Science Policy Centre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Japan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Japan, S&amp;T diplomacy is supported by the Science and Technology Basic Law of 1995; one of its objectives is to “contribute to the progress of S&amp;T globally in the world and the sustainable development of human society”.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established an S&amp;T advisor in 2015: provides advice to the Foreign Minister and relevant departments on the utilization of S&amp;T in various foreign policy makings. It also reinforces networking among S&amp;T advisors and scientists/academics.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S&amp;T advisor’s first policy, released in 1996, stressed the importance of diplomacy for S&amp;T but there was no mention of S&amp;T for diplomacy; the term “S&amp;T diplomacy” (which includes both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S&amp;T for diplomacy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diplomacy for S&amp;T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was incorporated into policy in 2011.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has bilateral S&amp;T agreements with 47 countries and institutions; the one with Canada has been in place since 1986.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also participates in multilateral meetings that involve S&amp;T: recent examples include the G7 S&amp;T Ministers’ Meeting (agreed to cooperate on global health) and the Tokyo International Conference on African Development (stressed importance of S&amp;T promotion).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important to have common goals when collaborating bilaterally or multilaterally.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Future opportunities for S&amp;T diplomacy include: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together to solve global programs (i.e. support data/evidence-based policy decisions and the UN Sustainable Development Goals).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Deepening relations between partner countries by promoting opportunities for collaboration (e.g. S&amp;T Research Partnership for Sustainable Development – SATREPS) and strengthening networks among scientists.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Switzerland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Switzerland has 20 S&amp;T counsellors around the world and 5 Swissnex offices (the first Swissnex office opened in Boston 17 years ago)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Swissnex model’s strengths include: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Flexible outreach mechanisms (i.e. the  network includes main offices and smaller satellite offices globally, as well as mobile offices)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mechanism for supporting Swiss education, research and innovation institutions with their internationalization endeavours.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Mixed funding and flexible partnerships (public, private, academia, foundations, local partners).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collaboration.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Switzerland’s biggest natural resource is its “grey matter”, thus the importance of participating in multinational organizations like CERN and the Arctic Council.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Switzerland has been ranked world’s leading innovator for 7 years in a row according to the INSEAD/WIPO Global Innovation Index  and, like Canada, has 7 universities ranked in the top 200. This ambition for academic excellence and the structural similarities with multilingualism and federalism are a good basis for enhanced scientific relations between the two countries.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government departments are directly involved in science diplomacy: the FDEAER, which oversees the State Secretariat for Education Research and Innovation, and the FDFA (where embassies and consulates have scientific counsellors who work for foreign affairs department).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Flexibility is key to Swiss scientific diplomacy.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tasks for science diplomacy include: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and anticipating developments in science policy.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Establishing and maintaining contacts.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Organizing events and multidisciplinary activities.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Stimulating and supporting cooperation projects in the areas of university or industry research (with an emphasis on priority areas for Switzerland).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Promotion of Switzerland as a cooperation partner in STI.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of internationalization efforts of universities, start-ups and spin-offs.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Several bilateral agreements provide a foundation for cooperation between Canada and France, including: the Enhanced Cooperation Agenda; the Declaration on Innovation;  the France-Canada Research Fund; and the Youth Mobility Agreement.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French diplomatic and scientific network includes: ministries of foreign affairs and higher education and research; 80 scientific advisors or attach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s; foreign offices of major research institutions (e.g. CNRS, Pasteur Institutes); and researchers (e.g. international labs of major research organizations; R&amp;D labs of large French companies; foreign-based branches of French universities).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 built the world’s second international network for scientific and cultural cooperation: its two main objectives are excellence and influence.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Priorities for supporting French science’s excellence at the international level: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international deployment of the national research and innovation strategy.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organization of French research abroad.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attractiveness of France for foreign researchers.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intelligibility of the French research 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participation of French researchers in very large research infrastructures, and promoting the installation of such infrastructures in France.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internationalization of French social and human sciences.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 and Canada have strong bilateral S&amp;T linkages between institutions of higher learning, research clusters and centres of excellence.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France-Canada Research Fund,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 agreement between the Embassy of France in Canada and Canadian universities,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promotes and develops scientific and academic exchanges, particularly among young researchers.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 natural interplay between traditional diplomacy and science on global issues such as climate change, sustainable development, health, biodiversity, cybersecurity and energy.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important to maintain S&amp;T links between countries that have difficult relations.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Diplomacy also means participating in policy development through involvement in international scientific and cultural organizations, such as: the European Space Agency, WHO, UNESCO, Arctic Council, CERN and the International Space Station.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“French Touch” in science diplomacy includes: core values (e.g. freedom of research and the scientific approach); promotion of gender equality, diversity and accessibility; study of human and social sciences; MOPGA initiative (resident permit for scientists).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Germany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German embassies and consulates have science departments; half of those S&amp;T attach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are diplomats; the other half are from Germany’s ministry of education and research.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Centres of excellence and innovation houses have been established around the world (none in Canada yet).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Germany’s underlying principles of its approach: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science: is enshrined in German’s constitution. Germany has only one funding institution for science (DFG) and its only criteria is academic excellence. Scientists decide where to spend money; there is no earmarking from the political level.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Attracting and advancing the brightest minds.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Institutional architecture for broad-based scientific enquiry.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Internationalization: Germany has implemented an internationalization strategy (have more than 300,000 international students in Germany).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science culture: includes science literacy.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Germany’s non-university research organizations support the full spectrum of research, from fundamental to applied.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68% of Germany’s R&amp;D comes from industry, with the remainder coming from government and universities. (Germany has doubled its investments in R&amp;D since 2005.)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is the #1 partner in the DFG; Canada hosts 11 out of the DFG’s 39 international research training groups. (e.g. NSERC CREATE program)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DAAD: Awards 1000 scholarships for Canada-German academic exchanges annually; DAAD has an information centre in Toronto.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Germany embassy in Canada assists in hosting science delegations – to Canada from Germany, and from Canada to Germany. Its role is to facilitate, inform and connect.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German embassy also hosts its own events in Canada (e.g. Future of Energy, Future of Mobility).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Future opportunities for scientific collaborations with Canada include: artificial intelligence, big data and advanced manufacturing.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 German and Canadian governments “are on the same track when it comes to science policy, the time is ripe to deepen our collaboration”.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information on funding your research in Germany, visit: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www.research-in-germany.org/dms/downloads-en/rig-publications/RiG-Funding-your-research-in-Germany-2016/Funding%20your%20research%202016%20barrierefrei.pdf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esearch-in-germany.org/dms/downloads-en/rig-publications/RiG-Funding-your-research-in-Germany-2016/Funding%20your%20research%202016%20barrierefre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